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296C38">
        <w:rPr>
          <w:rStyle w:val="af9"/>
          <w:rFonts w:ascii="Arial" w:eastAsia="宋体" w:hAnsi="Arial" w:cs="Arial" w:hint="eastAsia"/>
        </w:rPr>
        <w:t>1</w:t>
      </w:r>
      <w:r w:rsidR="007C030C">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7C030C" w:rsidRPr="007C030C">
        <w:rPr>
          <w:rStyle w:val="af9"/>
          <w:rFonts w:ascii="Arial" w:eastAsia="宋体" w:hAnsi="Arial" w:cs="Arial"/>
        </w:rPr>
        <w:t>R4-2200073</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7C030C" w:rsidRPr="007C030C">
        <w:rPr>
          <w:rStyle w:val="af9"/>
          <w:rFonts w:ascii="Arial" w:eastAsia="宋体" w:hAnsi="Arial" w:cs="Arial"/>
        </w:rPr>
        <w:t>January 17-25, 2022</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C030C" w:rsidRPr="007C030C">
        <w:rPr>
          <w:rFonts w:ascii="Arial" w:hAnsi="Arial" w:cs="Arial"/>
          <w:b w:val="0"/>
        </w:rPr>
        <w:t xml:space="preserve">Further discussion on UE </w:t>
      </w:r>
      <w:proofErr w:type="gramStart"/>
      <w:r w:rsidR="007C030C" w:rsidRPr="007C030C">
        <w:rPr>
          <w:rFonts w:ascii="Arial" w:hAnsi="Arial" w:cs="Arial"/>
          <w:b w:val="0"/>
        </w:rPr>
        <w:t>Tx</w:t>
      </w:r>
      <w:proofErr w:type="gramEnd"/>
      <w:r w:rsidR="007C030C" w:rsidRPr="007C030C">
        <w:rPr>
          <w:rFonts w:ascii="Arial" w:hAnsi="Arial" w:cs="Arial"/>
          <w:b w:val="0"/>
        </w:rPr>
        <w:t xml:space="preserve">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C030C">
        <w:rPr>
          <w:rFonts w:ascii="Arial" w:hAnsi="Arial" w:cs="Arial" w:hint="eastAsia"/>
          <w:b w:val="0"/>
        </w:rPr>
        <w:t>6</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074DA4">
        <w:rPr>
          <w:rFonts w:ascii="Arial" w:hAnsi="Arial" w:cs="Arial" w:hint="eastAsia"/>
          <w:b w:val="0"/>
        </w:rPr>
        <w:t>4</w:t>
      </w:r>
      <w:r w:rsidR="003015B8" w:rsidRPr="003015B8">
        <w:rPr>
          <w:rFonts w:ascii="Arial" w:hAnsi="Arial" w:cs="Arial"/>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22473" w:rsidRDefault="00C02493" w:rsidP="00622473">
      <w:pPr>
        <w:spacing w:before="0" w:after="120"/>
        <w:jc w:val="left"/>
        <w:rPr>
          <w:sz w:val="20"/>
        </w:rPr>
      </w:pPr>
      <w:r>
        <w:rPr>
          <w:rFonts w:hint="eastAsia"/>
          <w:sz w:val="20"/>
        </w:rPr>
        <w:t xml:space="preserve">In </w:t>
      </w:r>
      <w:r w:rsidR="00296C38">
        <w:rPr>
          <w:rFonts w:hint="eastAsia"/>
          <w:sz w:val="20"/>
        </w:rPr>
        <w:t xml:space="preserve">last </w:t>
      </w:r>
      <w:r>
        <w:rPr>
          <w:rFonts w:hint="eastAsia"/>
          <w:sz w:val="20"/>
        </w:rPr>
        <w:t>RAN4</w:t>
      </w:r>
      <w:r w:rsidR="001E1399">
        <w:rPr>
          <w:rFonts w:hint="eastAsia"/>
          <w:sz w:val="20"/>
        </w:rPr>
        <w:t xml:space="preserve"> </w:t>
      </w:r>
      <w:r>
        <w:rPr>
          <w:rFonts w:hint="eastAsia"/>
          <w:sz w:val="20"/>
        </w:rPr>
        <w:t xml:space="preserve">meeting, </w:t>
      </w:r>
      <w:r w:rsidR="00296C38">
        <w:rPr>
          <w:rFonts w:hint="eastAsia"/>
          <w:sz w:val="20"/>
        </w:rPr>
        <w:t xml:space="preserve">the </w:t>
      </w:r>
      <w:r w:rsidR="007F7AC1">
        <w:rPr>
          <w:rFonts w:hint="eastAsia"/>
          <w:sz w:val="20"/>
        </w:rPr>
        <w:t>RF</w:t>
      </w:r>
      <w:r w:rsidR="00296C38">
        <w:rPr>
          <w:rFonts w:hint="eastAsia"/>
          <w:sz w:val="20"/>
        </w:rPr>
        <w:t xml:space="preserve"> requir</w:t>
      </w:r>
      <w:r w:rsidR="007F7AC1">
        <w:rPr>
          <w:rFonts w:hint="eastAsia"/>
          <w:sz w:val="20"/>
        </w:rPr>
        <w:t>ements for NTN UE were discussed</w:t>
      </w:r>
      <w:r w:rsidR="00296C38">
        <w:rPr>
          <w:rFonts w:hint="eastAsia"/>
          <w:sz w:val="20"/>
        </w:rPr>
        <w:t xml:space="preserve"> and a way forward was approved [1]. </w:t>
      </w:r>
      <w:r w:rsidR="00622473">
        <w:rPr>
          <w:sz w:val="20"/>
        </w:rPr>
        <w:t>T</w:t>
      </w:r>
      <w:r w:rsidR="00622473">
        <w:rPr>
          <w:rFonts w:hint="eastAsia"/>
          <w:sz w:val="20"/>
        </w:rPr>
        <w:t xml:space="preserve">his document will further discuss </w:t>
      </w:r>
      <w:r w:rsidR="007F7AC1">
        <w:rPr>
          <w:rFonts w:hint="eastAsia"/>
          <w:sz w:val="20"/>
        </w:rPr>
        <w:t xml:space="preserve">remaining </w:t>
      </w:r>
      <w:r w:rsidR="00622473">
        <w:rPr>
          <w:rFonts w:hint="eastAsia"/>
          <w:sz w:val="20"/>
        </w:rPr>
        <w:t xml:space="preserve">NTN UE </w:t>
      </w:r>
      <w:proofErr w:type="gramStart"/>
      <w:r w:rsidR="00622473">
        <w:rPr>
          <w:rFonts w:hint="eastAsia"/>
          <w:sz w:val="20"/>
        </w:rPr>
        <w:t>Tx</w:t>
      </w:r>
      <w:proofErr w:type="gramEnd"/>
      <w:r w:rsidR="00622473">
        <w:rPr>
          <w:rFonts w:hint="eastAsia"/>
          <w:sz w:val="20"/>
        </w:rPr>
        <w:t xml:space="preserve"> RF requirements.</w:t>
      </w:r>
    </w:p>
    <w:p w:rsidR="00296C38" w:rsidRDefault="007F7AC1" w:rsidP="007F7AC1">
      <w:pPr>
        <w:pStyle w:val="afa"/>
        <w:numPr>
          <w:ilvl w:val="0"/>
          <w:numId w:val="47"/>
        </w:numPr>
        <w:spacing w:before="0" w:after="120"/>
        <w:ind w:firstLineChars="0"/>
        <w:jc w:val="left"/>
        <w:rPr>
          <w:sz w:val="20"/>
        </w:rPr>
      </w:pPr>
      <w:r w:rsidRPr="007F7AC1">
        <w:rPr>
          <w:sz w:val="20"/>
        </w:rPr>
        <w:t>Transmit modulation quality</w:t>
      </w:r>
    </w:p>
    <w:p w:rsidR="007F7AC1" w:rsidRPr="007F7AC1" w:rsidRDefault="007F7AC1" w:rsidP="007F7AC1">
      <w:pPr>
        <w:pStyle w:val="afa"/>
        <w:numPr>
          <w:ilvl w:val="0"/>
          <w:numId w:val="47"/>
        </w:numPr>
        <w:spacing w:before="0" w:after="120"/>
        <w:ind w:firstLineChars="0"/>
        <w:jc w:val="left"/>
        <w:rPr>
          <w:sz w:val="20"/>
        </w:rPr>
      </w:pPr>
      <w:r w:rsidRPr="007F7AC1">
        <w:rPr>
          <w:sz w:val="20"/>
        </w:rPr>
        <w:t>S</w:t>
      </w:r>
      <w:r w:rsidRPr="007F7AC1">
        <w:rPr>
          <w:rFonts w:hint="eastAsia"/>
          <w:sz w:val="20"/>
        </w:rPr>
        <w:t>purious emission for UE co-existence</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C030C" w:rsidRPr="007F7AC1" w:rsidRDefault="007C030C" w:rsidP="007C030C">
      <w:pPr>
        <w:pStyle w:val="afff"/>
        <w:snapToGrid w:val="0"/>
        <w:spacing w:before="120" w:after="120"/>
        <w:ind w:firstLineChars="0" w:firstLine="0"/>
        <w:rPr>
          <w:rFonts w:ascii="Times New Roman" w:eastAsia="宋体" w:hAnsi="Times New Roman" w:cs="Times New Roman"/>
          <w:b/>
          <w:szCs w:val="21"/>
          <w:u w:val="single"/>
          <w:lang w:val="x-none"/>
        </w:rPr>
      </w:pPr>
      <w:r w:rsidRPr="007F7AC1">
        <w:rPr>
          <w:rFonts w:ascii="Times New Roman" w:eastAsia="宋体" w:hAnsi="Times New Roman" w:cs="Times New Roman"/>
          <w:b/>
          <w:szCs w:val="21"/>
          <w:u w:val="single"/>
          <w:lang w:val="x-none"/>
        </w:rPr>
        <w:t>Transmit modulation quality</w:t>
      </w:r>
    </w:p>
    <w:p w:rsidR="00D133E2" w:rsidRPr="00D133E2" w:rsidRDefault="00D133E2" w:rsidP="00D133E2">
      <w:pPr>
        <w:spacing w:before="0" w:after="120"/>
        <w:jc w:val="left"/>
        <w:rPr>
          <w:sz w:val="20"/>
        </w:rPr>
      </w:pPr>
      <w:r>
        <w:rPr>
          <w:sz w:val="20"/>
        </w:rPr>
        <w:t>In WF [1], there are following proposals:</w:t>
      </w:r>
    </w:p>
    <w:p w:rsidR="007C030C" w:rsidRPr="00C5181F" w:rsidRDefault="007C030C" w:rsidP="007C030C">
      <w:pPr>
        <w:pStyle w:val="aff0"/>
        <w:numPr>
          <w:ilvl w:val="0"/>
          <w:numId w:val="44"/>
        </w:numPr>
        <w:tabs>
          <w:tab w:val="clear" w:pos="720"/>
        </w:tabs>
        <w:snapToGrid w:val="0"/>
        <w:spacing w:beforeLines="10" w:before="24" w:afterLines="10" w:after="24"/>
        <w:ind w:left="680" w:hanging="340"/>
        <w:rPr>
          <w:sz w:val="20"/>
        </w:rPr>
      </w:pPr>
      <w:r w:rsidRPr="00C5181F">
        <w:rPr>
          <w:sz w:val="20"/>
        </w:rPr>
        <w:t>Option 1: this</w:t>
      </w:r>
      <w:r w:rsidRPr="00C5181F">
        <w:rPr>
          <w:rFonts w:hint="eastAsia"/>
          <w:sz w:val="20"/>
        </w:rPr>
        <w:t xml:space="preserve"> requirement can be reused for NTN UE for QPSK and 16QAM.</w:t>
      </w:r>
    </w:p>
    <w:p w:rsidR="007C030C" w:rsidRPr="00C5181F" w:rsidRDefault="007C030C" w:rsidP="007C030C">
      <w:pPr>
        <w:pStyle w:val="aff0"/>
        <w:numPr>
          <w:ilvl w:val="1"/>
          <w:numId w:val="43"/>
        </w:numPr>
        <w:tabs>
          <w:tab w:val="clear" w:pos="1440"/>
        </w:tabs>
        <w:snapToGrid w:val="0"/>
        <w:spacing w:beforeLines="10" w:before="24" w:afterLines="10" w:after="24"/>
        <w:ind w:left="1020" w:hanging="340"/>
        <w:rPr>
          <w:sz w:val="20"/>
        </w:rPr>
      </w:pPr>
      <w:r w:rsidRPr="00C5181F">
        <w:rPr>
          <w:rFonts w:hint="eastAsia"/>
          <w:sz w:val="20"/>
        </w:rPr>
        <w:t>64QAM and 256QAM should be excluded.</w:t>
      </w:r>
    </w:p>
    <w:p w:rsidR="007C030C" w:rsidRPr="00C5181F" w:rsidRDefault="007C030C" w:rsidP="007C030C">
      <w:pPr>
        <w:pStyle w:val="aff0"/>
        <w:numPr>
          <w:ilvl w:val="0"/>
          <w:numId w:val="44"/>
        </w:numPr>
        <w:tabs>
          <w:tab w:val="clear" w:pos="720"/>
        </w:tabs>
        <w:snapToGrid w:val="0"/>
        <w:spacing w:beforeLines="10" w:before="24" w:afterLines="10" w:after="24"/>
        <w:ind w:left="680" w:hanging="340"/>
        <w:rPr>
          <w:sz w:val="20"/>
        </w:rPr>
      </w:pPr>
      <w:r w:rsidRPr="00C5181F">
        <w:rPr>
          <w:sz w:val="20"/>
        </w:rPr>
        <w:t xml:space="preserve">Option </w:t>
      </w:r>
      <w:r w:rsidRPr="00C5181F">
        <w:rPr>
          <w:rFonts w:hint="eastAsia"/>
          <w:sz w:val="20"/>
        </w:rPr>
        <w:t>2</w:t>
      </w:r>
      <w:r w:rsidRPr="00C5181F">
        <w:rPr>
          <w:sz w:val="20"/>
        </w:rPr>
        <w:t>: this</w:t>
      </w:r>
      <w:r w:rsidRPr="00C5181F">
        <w:rPr>
          <w:rFonts w:hint="eastAsia"/>
          <w:sz w:val="20"/>
        </w:rPr>
        <w:t xml:space="preserve"> requirement can be reused for NTN UE for QPSK, 16QAM and 64QAM.</w:t>
      </w:r>
    </w:p>
    <w:p w:rsidR="007C030C" w:rsidRPr="00C5181F" w:rsidRDefault="007C030C" w:rsidP="007C030C">
      <w:pPr>
        <w:pStyle w:val="aff0"/>
        <w:numPr>
          <w:ilvl w:val="1"/>
          <w:numId w:val="43"/>
        </w:numPr>
        <w:tabs>
          <w:tab w:val="clear" w:pos="1440"/>
        </w:tabs>
        <w:snapToGrid w:val="0"/>
        <w:spacing w:beforeLines="10" w:before="24" w:afterLines="10" w:after="24"/>
        <w:ind w:left="1020" w:hanging="340"/>
        <w:rPr>
          <w:sz w:val="20"/>
        </w:rPr>
      </w:pPr>
      <w:r w:rsidRPr="00C5181F">
        <w:rPr>
          <w:rFonts w:hint="eastAsia"/>
          <w:sz w:val="20"/>
        </w:rPr>
        <w:t>256QAM should be excluded.</w:t>
      </w:r>
    </w:p>
    <w:p w:rsidR="007C030C" w:rsidRPr="00C5181F" w:rsidRDefault="007C030C" w:rsidP="007C030C">
      <w:pPr>
        <w:pStyle w:val="aff0"/>
        <w:numPr>
          <w:ilvl w:val="0"/>
          <w:numId w:val="44"/>
        </w:numPr>
        <w:tabs>
          <w:tab w:val="clear" w:pos="720"/>
        </w:tabs>
        <w:snapToGrid w:val="0"/>
        <w:spacing w:beforeLines="10" w:before="24" w:afterLines="10" w:after="24"/>
        <w:ind w:left="680" w:hanging="340"/>
        <w:rPr>
          <w:sz w:val="20"/>
        </w:rPr>
      </w:pPr>
      <w:r w:rsidRPr="00C5181F">
        <w:rPr>
          <w:sz w:val="20"/>
        </w:rPr>
        <w:t xml:space="preserve">Option </w:t>
      </w:r>
      <w:r w:rsidRPr="00C5181F">
        <w:rPr>
          <w:rFonts w:hint="eastAsia"/>
          <w:sz w:val="20"/>
        </w:rPr>
        <w:t>3</w:t>
      </w:r>
      <w:r w:rsidRPr="00C5181F">
        <w:rPr>
          <w:sz w:val="20"/>
        </w:rPr>
        <w:t xml:space="preserve">: </w:t>
      </w:r>
      <w:r w:rsidRPr="00C5181F">
        <w:rPr>
          <w:rFonts w:hint="eastAsia"/>
          <w:sz w:val="20"/>
        </w:rPr>
        <w:t>other, please specify.</w:t>
      </w:r>
    </w:p>
    <w:p w:rsidR="007C030C" w:rsidRDefault="007C030C" w:rsidP="007C030C">
      <w:pPr>
        <w:snapToGrid w:val="0"/>
        <w:spacing w:afterLines="20" w:after="48"/>
        <w:ind w:leftChars="100" w:left="210"/>
        <w:rPr>
          <w:sz w:val="20"/>
        </w:rPr>
      </w:pPr>
      <w:r w:rsidRPr="00CF50CC">
        <w:rPr>
          <w:sz w:val="20"/>
        </w:rPr>
        <w:t>WF:</w:t>
      </w:r>
      <w:r w:rsidRPr="00C5181F">
        <w:rPr>
          <w:sz w:val="20"/>
        </w:rPr>
        <w:t xml:space="preserve"> </w:t>
      </w:r>
      <w:r w:rsidRPr="00C5181F">
        <w:rPr>
          <w:rFonts w:hint="eastAsia"/>
          <w:sz w:val="20"/>
        </w:rPr>
        <w:t xml:space="preserve">Option 2 as starting point and further check whether </w:t>
      </w:r>
      <w:r w:rsidRPr="00C5181F">
        <w:rPr>
          <w:sz w:val="20"/>
        </w:rPr>
        <w:t xml:space="preserve">UL </w:t>
      </w:r>
      <w:r w:rsidRPr="00C5181F">
        <w:rPr>
          <w:rFonts w:hint="eastAsia"/>
          <w:sz w:val="20"/>
        </w:rPr>
        <w:t>64QAM needs to be removed later.</w:t>
      </w:r>
    </w:p>
    <w:p w:rsidR="00D133E2" w:rsidRDefault="008D463B" w:rsidP="00D133E2">
      <w:pPr>
        <w:spacing w:before="0" w:after="120"/>
        <w:jc w:val="left"/>
        <w:rPr>
          <w:sz w:val="20"/>
        </w:rPr>
      </w:pPr>
      <w:r>
        <w:rPr>
          <w:rFonts w:hint="eastAsia"/>
          <w:sz w:val="20"/>
        </w:rPr>
        <w:t xml:space="preserve">In last meeting, </w:t>
      </w:r>
      <w:r w:rsidR="00CF50CC">
        <w:rPr>
          <w:rFonts w:hint="eastAsia"/>
          <w:sz w:val="20"/>
        </w:rPr>
        <w:t>we present our concern for 64QAM that may not have sufficient SINR in NTN scenario.</w:t>
      </w:r>
      <w:r w:rsidR="007F7AC1">
        <w:rPr>
          <w:rFonts w:hint="eastAsia"/>
          <w:sz w:val="20"/>
        </w:rPr>
        <w:t xml:space="preserve"> </w:t>
      </w:r>
      <w:r w:rsidR="007F7AC1">
        <w:rPr>
          <w:sz w:val="20"/>
        </w:rPr>
        <w:t>W</w:t>
      </w:r>
      <w:r w:rsidR="007F7AC1">
        <w:rPr>
          <w:rFonts w:hint="eastAsia"/>
          <w:sz w:val="20"/>
        </w:rPr>
        <w:t>e would prefer not to support 64QAM for both UL and DL unless its feasibility is justified.</w:t>
      </w:r>
    </w:p>
    <w:p w:rsidR="00ED09D4" w:rsidRPr="00A747AC" w:rsidRDefault="00A747AC" w:rsidP="00D133E2">
      <w:pPr>
        <w:spacing w:before="0" w:after="120"/>
        <w:jc w:val="left"/>
        <w:rPr>
          <w:b/>
          <w:sz w:val="20"/>
        </w:rPr>
      </w:pPr>
      <w:r w:rsidRPr="00A747AC">
        <w:rPr>
          <w:rFonts w:hint="eastAsia"/>
          <w:b/>
          <w:sz w:val="20"/>
        </w:rPr>
        <w:t>Proposal 1: it is proposed to consider QPSK and 16QAM in Rel-17.</w:t>
      </w:r>
    </w:p>
    <w:p w:rsidR="00A747AC" w:rsidRPr="004727B8" w:rsidRDefault="00A747AC" w:rsidP="00D133E2">
      <w:pPr>
        <w:spacing w:before="0" w:after="120"/>
        <w:jc w:val="left"/>
        <w:rPr>
          <w:sz w:val="20"/>
        </w:rPr>
      </w:pPr>
    </w:p>
    <w:p w:rsidR="007C030C" w:rsidRPr="003D3AE1" w:rsidRDefault="007F7AC1" w:rsidP="007C030C">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S</w:t>
      </w:r>
      <w:r w:rsidR="007C030C" w:rsidRPr="003D3AE1">
        <w:rPr>
          <w:rFonts w:ascii="Times New Roman" w:eastAsia="宋体" w:hAnsi="Times New Roman" w:cs="Times New Roman"/>
          <w:b/>
          <w:szCs w:val="21"/>
          <w:lang w:val="x-none"/>
        </w:rPr>
        <w:t>purious emission for UE co-existence</w:t>
      </w:r>
    </w:p>
    <w:p w:rsidR="007F7AC1" w:rsidRDefault="004727B8" w:rsidP="005B1A98">
      <w:pPr>
        <w:spacing w:before="0" w:after="120"/>
        <w:jc w:val="left"/>
        <w:rPr>
          <w:sz w:val="20"/>
        </w:rPr>
      </w:pPr>
      <w:r w:rsidRPr="004727B8">
        <w:rPr>
          <w:sz w:val="20"/>
        </w:rPr>
        <w:t>It is proposed to further clarify the co-existence band in the next RAN4 meeting</w:t>
      </w:r>
      <w:r>
        <w:rPr>
          <w:rFonts w:hint="eastAsia"/>
          <w:sz w:val="20"/>
        </w:rPr>
        <w:t xml:space="preserve"> in WF [1].</w:t>
      </w:r>
      <w:r w:rsidR="007811CB">
        <w:rPr>
          <w:rFonts w:hint="eastAsia"/>
          <w:sz w:val="20"/>
        </w:rPr>
        <w:t xml:space="preserve"> </w:t>
      </w:r>
      <w:r w:rsidR="007F7AC1">
        <w:rPr>
          <w:rFonts w:hint="eastAsia"/>
          <w:sz w:val="20"/>
        </w:rPr>
        <w:t>T</w:t>
      </w:r>
      <w:r w:rsidR="007811CB">
        <w:rPr>
          <w:rFonts w:hint="eastAsia"/>
          <w:sz w:val="20"/>
        </w:rPr>
        <w:t xml:space="preserve">he </w:t>
      </w:r>
      <w:r w:rsidR="00551E20">
        <w:rPr>
          <w:rFonts w:hint="eastAsia"/>
          <w:sz w:val="20"/>
        </w:rPr>
        <w:t xml:space="preserve">general </w:t>
      </w:r>
      <w:r w:rsidR="007811CB">
        <w:rPr>
          <w:rFonts w:hint="eastAsia"/>
          <w:sz w:val="20"/>
        </w:rPr>
        <w:t>spu</w:t>
      </w:r>
      <w:r w:rsidR="00551E20">
        <w:rPr>
          <w:rFonts w:hint="eastAsia"/>
          <w:sz w:val="20"/>
        </w:rPr>
        <w:t>rious requiremen</w:t>
      </w:r>
      <w:r w:rsidR="007F7AC1">
        <w:rPr>
          <w:rFonts w:hint="eastAsia"/>
          <w:sz w:val="20"/>
        </w:rPr>
        <w:t>ts can be reused for UE if there is no special regulation requirement for NTN UE</w:t>
      </w:r>
      <w:r w:rsidR="00551E20">
        <w:rPr>
          <w:rFonts w:hint="eastAsia"/>
          <w:sz w:val="20"/>
        </w:rPr>
        <w:t xml:space="preserve">. </w:t>
      </w:r>
    </w:p>
    <w:p w:rsidR="007F7AC1" w:rsidRDefault="007F7AC1" w:rsidP="005B1A98">
      <w:pPr>
        <w:spacing w:before="0" w:after="120"/>
        <w:jc w:val="left"/>
        <w:rPr>
          <w:sz w:val="20"/>
        </w:rPr>
      </w:pPr>
      <w:r>
        <w:rPr>
          <w:sz w:val="20"/>
        </w:rPr>
        <w:t>F</w:t>
      </w:r>
      <w:r>
        <w:rPr>
          <w:rFonts w:hint="eastAsia"/>
          <w:sz w:val="20"/>
        </w:rPr>
        <w:t xml:space="preserve">or UE co-existence </w:t>
      </w:r>
      <w:r>
        <w:rPr>
          <w:sz w:val="20"/>
        </w:rPr>
        <w:t>requirement</w:t>
      </w:r>
      <w:r>
        <w:rPr>
          <w:rFonts w:hint="eastAsia"/>
          <w:sz w:val="20"/>
        </w:rPr>
        <w:t xml:space="preserve">, there could be similar scenario between NTN UEs and between NTN UE and TN UE. -50dBm/MHz </w:t>
      </w:r>
      <w:r>
        <w:rPr>
          <w:sz w:val="20"/>
        </w:rPr>
        <w:t>require</w:t>
      </w:r>
      <w:r>
        <w:rPr>
          <w:rFonts w:hint="eastAsia"/>
          <w:sz w:val="20"/>
        </w:rPr>
        <w:t>ment could be reused from 38.101. Since the UE will be globally used, how many co-existence bands should be well considered.</w:t>
      </w:r>
    </w:p>
    <w:p w:rsidR="00076FCD" w:rsidRDefault="00A747AC" w:rsidP="008301A7">
      <w:pPr>
        <w:spacing w:before="0" w:after="120"/>
        <w:jc w:val="left"/>
        <w:rPr>
          <w:rFonts w:hint="eastAsia"/>
          <w:b/>
          <w:sz w:val="20"/>
        </w:rPr>
      </w:pPr>
      <w:r w:rsidRPr="00A747AC">
        <w:rPr>
          <w:rFonts w:hint="eastAsia"/>
          <w:b/>
          <w:sz w:val="20"/>
        </w:rPr>
        <w:t>Proposal</w:t>
      </w:r>
      <w:r w:rsidR="00580DE3">
        <w:rPr>
          <w:rFonts w:hint="eastAsia"/>
          <w:b/>
          <w:sz w:val="20"/>
        </w:rPr>
        <w:t xml:space="preserve"> 2</w:t>
      </w:r>
      <w:r w:rsidRPr="00A747AC">
        <w:rPr>
          <w:rFonts w:hint="eastAsia"/>
          <w:b/>
          <w:sz w:val="20"/>
        </w:rPr>
        <w:t>: it is proposed to reuse -50dBm/MHz co-existence requirement for NTN UE.</w:t>
      </w:r>
    </w:p>
    <w:p w:rsidR="00580DE3" w:rsidRPr="00580DE3" w:rsidRDefault="00580DE3" w:rsidP="008301A7">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7B3710">
        <w:rPr>
          <w:rFonts w:hint="eastAsia"/>
          <w:sz w:val="20"/>
        </w:rPr>
        <w:t xml:space="preserve">Tx </w:t>
      </w:r>
      <w:r w:rsidRPr="00537572">
        <w:rPr>
          <w:sz w:val="20"/>
        </w:rPr>
        <w:t>RF requirements for N</w:t>
      </w:r>
      <w:r>
        <w:rPr>
          <w:rFonts w:hint="eastAsia"/>
          <w:sz w:val="20"/>
        </w:rPr>
        <w:t>TN</w:t>
      </w:r>
      <w:r w:rsidR="005115CB">
        <w:rPr>
          <w:rFonts w:hint="eastAsia"/>
          <w:sz w:val="20"/>
        </w:rPr>
        <w:t xml:space="preserve"> UE</w:t>
      </w:r>
      <w:r w:rsidR="00CF1199">
        <w:rPr>
          <w:rFonts w:hint="eastAsia"/>
          <w:sz w:val="20"/>
        </w:rPr>
        <w:t xml:space="preserve">. </w:t>
      </w:r>
    </w:p>
    <w:p w:rsidR="00A747AC" w:rsidRPr="00A747AC" w:rsidRDefault="00A747AC" w:rsidP="00A747AC">
      <w:pPr>
        <w:spacing w:before="0" w:after="120"/>
        <w:jc w:val="left"/>
        <w:rPr>
          <w:b/>
          <w:sz w:val="20"/>
        </w:rPr>
      </w:pPr>
      <w:r w:rsidRPr="00A747AC">
        <w:rPr>
          <w:rFonts w:hint="eastAsia"/>
          <w:b/>
          <w:sz w:val="20"/>
        </w:rPr>
        <w:t>Proposal 1: it is proposed to consider QPSK and 16QAM in Rel-17.</w:t>
      </w:r>
    </w:p>
    <w:p w:rsidR="00A747AC" w:rsidRPr="00A747AC" w:rsidRDefault="00A747AC" w:rsidP="00A747AC">
      <w:pPr>
        <w:spacing w:before="0" w:after="120"/>
        <w:jc w:val="left"/>
        <w:rPr>
          <w:b/>
          <w:sz w:val="20"/>
        </w:rPr>
      </w:pPr>
      <w:r w:rsidRPr="00A747AC">
        <w:rPr>
          <w:rFonts w:hint="eastAsia"/>
          <w:b/>
          <w:sz w:val="20"/>
        </w:rPr>
        <w:t>Proposal</w:t>
      </w:r>
      <w:r w:rsidR="00580DE3">
        <w:rPr>
          <w:rFonts w:hint="eastAsia"/>
          <w:b/>
          <w:sz w:val="20"/>
        </w:rPr>
        <w:t xml:space="preserve"> 2</w:t>
      </w:r>
      <w:bookmarkStart w:id="2" w:name="_GoBack"/>
      <w:bookmarkEnd w:id="2"/>
      <w:r w:rsidRPr="00A747AC">
        <w:rPr>
          <w:rFonts w:hint="eastAsia"/>
          <w:b/>
          <w:sz w:val="20"/>
        </w:rPr>
        <w:t>: it is proposed to reuse -50dBm/MHz co-existence requirement for NTN UE.</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7C030C" w:rsidRPr="007C030C">
        <w:rPr>
          <w:sz w:val="20"/>
        </w:rPr>
        <w:t>R4-2120676</w:t>
      </w:r>
      <w:r w:rsidR="007C030C">
        <w:rPr>
          <w:rFonts w:hint="eastAsia"/>
          <w:sz w:val="20"/>
        </w:rPr>
        <w:t xml:space="preserve">, </w:t>
      </w:r>
      <w:r w:rsidR="007C030C" w:rsidRPr="007C030C">
        <w:rPr>
          <w:sz w:val="20"/>
        </w:rPr>
        <w:t>WF on NTN UE RF requirements</w:t>
      </w:r>
      <w:r w:rsidR="007C030C">
        <w:rPr>
          <w:rFonts w:hint="eastAsia"/>
          <w:sz w:val="20"/>
        </w:rPr>
        <w:t xml:space="preserve">, </w:t>
      </w:r>
      <w:r w:rsidR="007C030C" w:rsidRPr="007C030C">
        <w:rPr>
          <w:sz w:val="20"/>
        </w:rPr>
        <w:t>Huawei</w:t>
      </w:r>
    </w:p>
    <w:p w:rsidR="009B4EAC" w:rsidRPr="00563340" w:rsidRDefault="009B4EAC">
      <w:pPr>
        <w:pStyle w:val="ab"/>
        <w:ind w:left="540" w:hangingChars="270" w:hanging="540"/>
        <w:rPr>
          <w:sz w:val="20"/>
        </w:rPr>
      </w:pPr>
    </w:p>
    <w:sectPr w:rsidR="009B4EAC" w:rsidRPr="0056334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66F" w:rsidRDefault="00B0766F" w:rsidP="0095591C">
      <w:pPr>
        <w:spacing w:after="60"/>
        <w:ind w:left="210"/>
      </w:pPr>
      <w:r>
        <w:separator/>
      </w:r>
    </w:p>
    <w:p w:rsidR="00B0766F" w:rsidRDefault="00B0766F"/>
  </w:endnote>
  <w:endnote w:type="continuationSeparator" w:id="0">
    <w:p w:rsidR="00B0766F" w:rsidRDefault="00B0766F" w:rsidP="0095591C">
      <w:pPr>
        <w:spacing w:after="60"/>
        <w:ind w:left="210"/>
      </w:pPr>
      <w:r>
        <w:continuationSeparator/>
      </w:r>
    </w:p>
    <w:p w:rsidR="00B0766F" w:rsidRDefault="00B07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DengXian">
    <w:altName w:val="宋体"/>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9B" w:rsidRDefault="0028739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80DE3">
      <w:t>1</w:t>
    </w:r>
    <w:r>
      <w:fldChar w:fldCharType="end"/>
    </w:r>
  </w:p>
  <w:p w:rsidR="0028739B" w:rsidRDefault="002873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66F" w:rsidRDefault="00B0766F" w:rsidP="0095591C">
      <w:pPr>
        <w:spacing w:after="60"/>
        <w:ind w:left="210"/>
      </w:pPr>
      <w:r>
        <w:separator/>
      </w:r>
    </w:p>
    <w:p w:rsidR="00B0766F" w:rsidRDefault="00B0766F"/>
  </w:footnote>
  <w:footnote w:type="continuationSeparator" w:id="0">
    <w:p w:rsidR="00B0766F" w:rsidRDefault="00B0766F" w:rsidP="0095591C">
      <w:pPr>
        <w:spacing w:after="60"/>
        <w:ind w:left="210"/>
      </w:pPr>
      <w:r>
        <w:continuationSeparator/>
      </w:r>
    </w:p>
    <w:p w:rsidR="00B0766F" w:rsidRDefault="00B076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9B" w:rsidRDefault="0028739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8739B" w:rsidRDefault="002873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15pt;height:74.8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6475B99"/>
    <w:multiLevelType w:val="hybridMultilevel"/>
    <w:tmpl w:val="DD082F86"/>
    <w:lvl w:ilvl="0" w:tplc="5F9C6A7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6">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EAF7F60"/>
    <w:multiLevelType w:val="hybridMultilevel"/>
    <w:tmpl w:val="816EFEA0"/>
    <w:lvl w:ilvl="0" w:tplc="0E6EE7E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8"/>
  </w:num>
  <w:num w:numId="3">
    <w:abstractNumId w:val="2"/>
  </w:num>
  <w:num w:numId="4">
    <w:abstractNumId w:val="24"/>
  </w:num>
  <w:num w:numId="5">
    <w:abstractNumId w:val="13"/>
  </w:num>
  <w:num w:numId="6">
    <w:abstractNumId w:val="42"/>
  </w:num>
  <w:num w:numId="7">
    <w:abstractNumId w:val="5"/>
  </w:num>
  <w:num w:numId="8">
    <w:abstractNumId w:val="26"/>
  </w:num>
  <w:num w:numId="9">
    <w:abstractNumId w:val="18"/>
  </w:num>
  <w:num w:numId="10">
    <w:abstractNumId w:val="39"/>
  </w:num>
  <w:num w:numId="11">
    <w:abstractNumId w:val="43"/>
  </w:num>
  <w:num w:numId="12">
    <w:abstractNumId w:val="44"/>
  </w:num>
  <w:num w:numId="13">
    <w:abstractNumId w:val="19"/>
  </w:num>
  <w:num w:numId="14">
    <w:abstractNumId w:val="22"/>
  </w:num>
  <w:num w:numId="15">
    <w:abstractNumId w:val="16"/>
  </w:num>
  <w:num w:numId="16">
    <w:abstractNumId w:val="38"/>
  </w:num>
  <w:num w:numId="17">
    <w:abstractNumId w:val="0"/>
  </w:num>
  <w:num w:numId="18">
    <w:abstractNumId w:val="25"/>
  </w:num>
  <w:num w:numId="19">
    <w:abstractNumId w:val="33"/>
  </w:num>
  <w:num w:numId="20">
    <w:abstractNumId w:val="31"/>
  </w:num>
  <w:num w:numId="21">
    <w:abstractNumId w:val="4"/>
  </w:num>
  <w:num w:numId="22">
    <w:abstractNumId w:val="3"/>
  </w:num>
  <w:num w:numId="23">
    <w:abstractNumId w:val="7"/>
  </w:num>
  <w:num w:numId="24">
    <w:abstractNumId w:val="10"/>
  </w:num>
  <w:num w:numId="25">
    <w:abstractNumId w:val="9"/>
  </w:num>
  <w:num w:numId="26">
    <w:abstractNumId w:val="40"/>
  </w:num>
  <w:num w:numId="27">
    <w:abstractNumId w:val="1"/>
  </w:num>
  <w:num w:numId="28">
    <w:abstractNumId w:val="45"/>
  </w:num>
  <w:num w:numId="29">
    <w:abstractNumId w:val="15"/>
  </w:num>
  <w:num w:numId="30">
    <w:abstractNumId w:val="30"/>
  </w:num>
  <w:num w:numId="31">
    <w:abstractNumId w:val="17"/>
  </w:num>
  <w:num w:numId="32">
    <w:abstractNumId w:val="11"/>
  </w:num>
  <w:num w:numId="33">
    <w:abstractNumId w:val="12"/>
  </w:num>
  <w:num w:numId="34">
    <w:abstractNumId w:val="6"/>
  </w:num>
  <w:num w:numId="35">
    <w:abstractNumId w:val="36"/>
  </w:num>
  <w:num w:numId="36">
    <w:abstractNumId w:val="28"/>
  </w:num>
  <w:num w:numId="37">
    <w:abstractNumId w:val="34"/>
  </w:num>
  <w:num w:numId="38">
    <w:abstractNumId w:val="2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20"/>
    <w:lvlOverride w:ilvl="0">
      <w:startOverride w:val="1"/>
    </w:lvlOverride>
  </w:num>
  <w:num w:numId="42">
    <w:abstractNumId w:val="14"/>
  </w:num>
  <w:num w:numId="43">
    <w:abstractNumId w:val="35"/>
  </w:num>
  <w:num w:numId="44">
    <w:abstractNumId w:val="41"/>
  </w:num>
  <w:num w:numId="45">
    <w:abstractNumId w:val="27"/>
  </w:num>
  <w:num w:numId="46">
    <w:abstractNumId w:val="23"/>
  </w:num>
  <w:num w:numId="47">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0DE3"/>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11D"/>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7F7AC1"/>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7AC"/>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6F"/>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DE3B4-D072-4276-A45B-48D0ADE9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2005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3</cp:revision>
  <cp:lastPrinted>2007-04-24T00:59:00Z</cp:lastPrinted>
  <dcterms:created xsi:type="dcterms:W3CDTF">2022-01-10T11:06:00Z</dcterms:created>
  <dcterms:modified xsi:type="dcterms:W3CDTF">2022-01-10T12:13:00Z</dcterms:modified>
</cp:coreProperties>
</file>